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99" w:rsidRDefault="00BF7499" w:rsidP="00BF7499">
      <w:pPr>
        <w:shd w:val="clear" w:color="auto" w:fill="FFFFFF"/>
        <w:spacing w:after="0"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</w:pPr>
      <w:r w:rsidRPr="00BF7499"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  <w:t>Sistema de Admisión Escolar</w:t>
      </w:r>
    </w:p>
    <w:p w:rsidR="00BF7499" w:rsidRPr="00BF7499" w:rsidRDefault="00BF7499" w:rsidP="00BF7499">
      <w:pPr>
        <w:shd w:val="clear" w:color="auto" w:fill="FFFFFF"/>
        <w:spacing w:after="0"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</w:pPr>
      <w:r w:rsidRPr="00BF7499">
        <w:rPr>
          <w:b/>
          <w:noProof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4259067</wp:posOffset>
            </wp:positionH>
            <wp:positionV relativeFrom="paragraph">
              <wp:posOffset>14416</wp:posOffset>
            </wp:positionV>
            <wp:extent cx="1024957" cy="642025"/>
            <wp:effectExtent l="0" t="0" r="3810" b="5715"/>
            <wp:wrapThrough wrapText="bothSides">
              <wp:wrapPolygon edited="0">
                <wp:start x="6825" y="0"/>
                <wp:lineTo x="803" y="4487"/>
                <wp:lineTo x="401" y="10255"/>
                <wp:lineTo x="2007" y="10255"/>
                <wp:lineTo x="2007" y="12819"/>
                <wp:lineTo x="7227" y="20510"/>
                <wp:lineTo x="8833" y="21151"/>
                <wp:lineTo x="13651" y="21151"/>
                <wp:lineTo x="13651" y="20510"/>
                <wp:lineTo x="21279" y="16024"/>
                <wp:lineTo x="21279" y="13460"/>
                <wp:lineTo x="19271" y="9614"/>
                <wp:lineTo x="18468" y="5769"/>
                <wp:lineTo x="16059" y="0"/>
                <wp:lineTo x="6825" y="0"/>
              </wp:wrapPolygon>
            </wp:wrapThrough>
            <wp:docPr id="1" name="Imagen 1" descr="https://www.sistemadeadmisionescolar.cl/wp-content/uploads/2019/07/SAE_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deadmisionescolar.cl/wp-content/uploads/2019/07/SAE_logotip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57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</w:pPr>
      <w:r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 xml:space="preserve">Fono consulta: </w:t>
      </w:r>
      <w:r w:rsidRPr="00BF7499"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>600 600 26 26</w:t>
      </w: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</w:pPr>
      <w:r w:rsidRPr="00BF7499"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 xml:space="preserve">De 8:00 a 18:00 horas </w:t>
      </w:r>
    </w:p>
    <w:p w:rsidR="00FE112A" w:rsidRPr="00FE112A" w:rsidRDefault="00FE112A" w:rsidP="00FE112A">
      <w:pPr>
        <w:shd w:val="clear" w:color="auto" w:fill="FFFFFF"/>
        <w:spacing w:after="0" w:line="240" w:lineRule="auto"/>
        <w:jc w:val="center"/>
        <w:rPr>
          <w:rFonts w:ascii="gobCL" w:eastAsia="Times New Roman" w:hAnsi="gobCL" w:cs="Times New Roman"/>
          <w:color w:val="475156"/>
          <w:sz w:val="40"/>
          <w:szCs w:val="40"/>
          <w:lang w:eastAsia="es-CL"/>
        </w:rPr>
      </w:pPr>
      <w:r w:rsidRPr="00FE112A">
        <w:rPr>
          <w:rFonts w:ascii="gobCL" w:eastAsia="Times New Roman" w:hAnsi="gobCL" w:cs="Times New Roman"/>
          <w:color w:val="475156"/>
          <w:sz w:val="40"/>
          <w:szCs w:val="40"/>
          <w:lang w:eastAsia="es-CL"/>
        </w:rPr>
        <w:t xml:space="preserve">Ingresa a: </w:t>
      </w:r>
      <w:hyperlink r:id="rId7" w:history="1">
        <w:r w:rsidRPr="00FE112A">
          <w:rPr>
            <w:color w:val="0000FF"/>
            <w:sz w:val="40"/>
            <w:szCs w:val="40"/>
            <w:u w:val="single"/>
          </w:rPr>
          <w:t>https://www.sistemadeadmisionescolar.cl/</w:t>
        </w:r>
      </w:hyperlink>
    </w:p>
    <w:p w:rsidR="00FE112A" w:rsidRDefault="00FE112A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p w:rsidR="00FE112A" w:rsidRDefault="00FE112A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7499" w:rsidRPr="00BF7499" w:rsidTr="001E2CE2">
        <w:trPr>
          <w:trHeight w:val="448"/>
        </w:trPr>
        <w:tc>
          <w:tcPr>
            <w:tcW w:w="4414" w:type="dxa"/>
          </w:tcPr>
          <w:p w:rsidR="00BF7499" w:rsidRPr="00BF7499" w:rsidRDefault="00BF7499" w:rsidP="00BF7499">
            <w:pPr>
              <w:shd w:val="clear" w:color="auto" w:fill="FFFFFF"/>
              <w:jc w:val="center"/>
              <w:rPr>
                <w:rFonts w:ascii="gobCL" w:eastAsia="Times New Roman" w:hAnsi="gobCL" w:cs="Times New Roman"/>
                <w:b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color w:val="475156"/>
                <w:sz w:val="26"/>
                <w:szCs w:val="26"/>
                <w:lang w:eastAsia="es-CL"/>
              </w:rPr>
              <w:t>Fechas importantes:</w:t>
            </w:r>
          </w:p>
        </w:tc>
        <w:tc>
          <w:tcPr>
            <w:tcW w:w="4414" w:type="dxa"/>
          </w:tcPr>
          <w:p w:rsidR="00BF7499" w:rsidRPr="00BF7499" w:rsidRDefault="00BF7499" w:rsidP="00BF7499">
            <w:pPr>
              <w:jc w:val="center"/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Observaciones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Jueves 13 de agosto al martes 8 de septiembre, 2020.</w:t>
            </w:r>
          </w:p>
        </w:tc>
        <w:tc>
          <w:tcPr>
            <w:tcW w:w="4414" w:type="dxa"/>
          </w:tcPr>
          <w:p w:rsid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Periodo prin</w:t>
            </w:r>
            <w:r w:rsidR="001E2CE2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cipal de postulaciones. Region</w:t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Metropolitana</w:t>
            </w:r>
          </w:p>
          <w:p w:rsidR="00BF7499" w:rsidRPr="00BF7499" w:rsidRDefault="00BF7499" w:rsidP="00BF7499">
            <w:pPr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Lunes 26 de octubre al viernes 30 de octubre, 2020.</w:t>
            </w:r>
          </w:p>
        </w:tc>
        <w:tc>
          <w:tcPr>
            <w:tcW w:w="4414" w:type="dxa"/>
          </w:tcPr>
          <w:p w:rsid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Publicación de resultados. 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</w:p>
          <w:p w:rsidR="00BF7499" w:rsidRPr="00BF7499" w:rsidRDefault="00BF7499" w:rsidP="00BF7499">
            <w:pPr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Martes 10 de noviembre al miércoles 11 de noviembre, 2020.</w:t>
            </w:r>
          </w:p>
        </w:tc>
        <w:tc>
          <w:tcPr>
            <w:tcW w:w="4414" w:type="dxa"/>
          </w:tcPr>
          <w:p w:rsidR="00BF7499" w:rsidRDefault="00BF7499" w:rsidP="00BF7499">
            <w:pPr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Publicación de resultados listas de espera.</w:t>
            </w:r>
          </w:p>
          <w:p w:rsidR="00BF7499" w:rsidRDefault="00BF7499" w:rsidP="00BF7499">
            <w:pPr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 xml:space="preserve"> </w:t>
            </w:r>
          </w:p>
          <w:p w:rsidR="00BF7499" w:rsidRPr="00BF7499" w:rsidRDefault="00BF7499" w:rsidP="00BF7499">
            <w:pPr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Martes 24 de noviembre al lunes 30 de noviembre, 2020.</w:t>
            </w:r>
          </w:p>
        </w:tc>
        <w:tc>
          <w:tcPr>
            <w:tcW w:w="4414" w:type="dxa"/>
          </w:tcPr>
          <w:p w:rsidR="00BF7499" w:rsidRDefault="00BF7499" w:rsidP="00BF7499">
            <w:pPr>
              <w:jc w:val="both"/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Periodo Complementario de postulación.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Es para aquellos apoderados que hayan rechazado su asignación o que no postularon en el periodo principal.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</w:p>
          <w:p w:rsidR="00BF7499" w:rsidRPr="00BF7499" w:rsidRDefault="00BF7499" w:rsidP="00BF7499">
            <w:pPr>
              <w:jc w:val="both"/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Viernes 11 de diciembre, 2020</w:t>
            </w:r>
          </w:p>
        </w:tc>
        <w:tc>
          <w:tcPr>
            <w:tcW w:w="4414" w:type="dxa"/>
          </w:tcPr>
          <w:p w:rsidR="00BF7499" w:rsidRPr="00BF7499" w:rsidRDefault="00BF7499" w:rsidP="00BF7499">
            <w:pPr>
              <w:jc w:val="both"/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Publicación resultados Periodo Complementario de postulación.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  <w:tr w:rsidR="00BF7499" w:rsidTr="00BF7499">
        <w:tc>
          <w:tcPr>
            <w:tcW w:w="4414" w:type="dxa"/>
          </w:tcPr>
          <w:p w:rsid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Lunes 14 de diciembre al jueves 24 de diciembre, 2020.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</w:p>
        </w:tc>
        <w:tc>
          <w:tcPr>
            <w:tcW w:w="4414" w:type="dxa"/>
          </w:tcPr>
          <w:p w:rsidR="00BF7499" w:rsidRDefault="00BF7499" w:rsidP="00BF7499">
            <w:pPr>
              <w:jc w:val="both"/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Periodo de matrícula en los establecimientos. 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Este periodo es para estudiantes nuevos y estudiantes que continuarán en su mismo establecimiento.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</w:p>
          <w:p w:rsidR="00BF7499" w:rsidRPr="00BF7499" w:rsidRDefault="00BF7499" w:rsidP="00BF7499">
            <w:pPr>
              <w:jc w:val="both"/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</w:tbl>
    <w:p w:rsidR="00BF7499" w:rsidRDefault="00BF7499">
      <w:r>
        <w:br w:type="page"/>
      </w:r>
    </w:p>
    <w:p w:rsidR="00BF7499" w:rsidRDefault="00BF7499" w:rsidP="00BF7499">
      <w:pPr>
        <w:shd w:val="clear" w:color="auto" w:fill="FFFFFF"/>
        <w:spacing w:after="0"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</w:pPr>
      <w:r w:rsidRPr="00BF7499"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  <w:lastRenderedPageBreak/>
        <w:t>Sistema de Admisión Escolar</w:t>
      </w:r>
    </w:p>
    <w:p w:rsidR="00BF7499" w:rsidRPr="00BF7499" w:rsidRDefault="00BF7499" w:rsidP="00BF7499">
      <w:pPr>
        <w:shd w:val="clear" w:color="auto" w:fill="FFFFFF"/>
        <w:spacing w:after="0"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u w:val="single"/>
          <w:lang w:eastAsia="es-CL"/>
        </w:rPr>
      </w:pPr>
      <w:r w:rsidRPr="00BF7499">
        <w:rPr>
          <w:b/>
          <w:noProof/>
          <w:u w:val="single"/>
          <w:lang w:eastAsia="es-CL"/>
        </w:rPr>
        <w:drawing>
          <wp:anchor distT="0" distB="0" distL="114300" distR="114300" simplePos="0" relativeHeight="251660288" behindDoc="1" locked="0" layoutInCell="1" allowOverlap="1" wp14:anchorId="34A07ABB" wp14:editId="0B911681">
            <wp:simplePos x="0" y="0"/>
            <wp:positionH relativeFrom="column">
              <wp:posOffset>4259067</wp:posOffset>
            </wp:positionH>
            <wp:positionV relativeFrom="paragraph">
              <wp:posOffset>14416</wp:posOffset>
            </wp:positionV>
            <wp:extent cx="1024957" cy="642025"/>
            <wp:effectExtent l="0" t="0" r="3810" b="5715"/>
            <wp:wrapThrough wrapText="bothSides">
              <wp:wrapPolygon edited="0">
                <wp:start x="6825" y="0"/>
                <wp:lineTo x="803" y="4487"/>
                <wp:lineTo x="401" y="10255"/>
                <wp:lineTo x="2007" y="10255"/>
                <wp:lineTo x="2007" y="12819"/>
                <wp:lineTo x="7227" y="20510"/>
                <wp:lineTo x="8833" y="21151"/>
                <wp:lineTo x="13651" y="21151"/>
                <wp:lineTo x="13651" y="20510"/>
                <wp:lineTo x="21279" y="16024"/>
                <wp:lineTo x="21279" y="13460"/>
                <wp:lineTo x="19271" y="9614"/>
                <wp:lineTo x="18468" y="5769"/>
                <wp:lineTo x="16059" y="0"/>
                <wp:lineTo x="6825" y="0"/>
              </wp:wrapPolygon>
            </wp:wrapThrough>
            <wp:docPr id="2" name="Imagen 2" descr="https://www.sistemadeadmisionescolar.cl/wp-content/uploads/2019/07/SAE_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deadmisionescolar.cl/wp-content/uploads/2019/07/SAE_logoti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57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</w:pPr>
      <w:r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 xml:space="preserve">Fono consulta: </w:t>
      </w:r>
      <w:r w:rsidRPr="00BF7499"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>600 600 26 26</w:t>
      </w: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</w:pPr>
      <w:r w:rsidRPr="00BF7499">
        <w:rPr>
          <w:rFonts w:ascii="gobCL" w:eastAsia="Times New Roman" w:hAnsi="gobCL" w:cs="Times New Roman"/>
          <w:color w:val="475156"/>
          <w:sz w:val="18"/>
          <w:szCs w:val="18"/>
          <w:lang w:eastAsia="es-CL"/>
        </w:rPr>
        <w:t xml:space="preserve">De 8:00 a 18:00 horas </w:t>
      </w:r>
    </w:p>
    <w:p w:rsid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7499" w:rsidRPr="00BF7499" w:rsidTr="009406E8">
        <w:tc>
          <w:tcPr>
            <w:tcW w:w="4414" w:type="dxa"/>
          </w:tcPr>
          <w:p w:rsidR="00BF7499" w:rsidRPr="00BF7499" w:rsidRDefault="00BF7499" w:rsidP="00BF7499">
            <w:pPr>
              <w:shd w:val="clear" w:color="auto" w:fill="FFFFFF"/>
              <w:jc w:val="center"/>
              <w:rPr>
                <w:rFonts w:ascii="gobCL" w:eastAsia="Times New Roman" w:hAnsi="gobCL" w:cs="Times New Roman"/>
                <w:b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color w:val="475156"/>
                <w:sz w:val="26"/>
                <w:szCs w:val="26"/>
                <w:lang w:eastAsia="es-CL"/>
              </w:rPr>
              <w:t>Fechas importantes:</w:t>
            </w:r>
          </w:p>
        </w:tc>
        <w:tc>
          <w:tcPr>
            <w:tcW w:w="4414" w:type="dxa"/>
          </w:tcPr>
          <w:p w:rsidR="00BF7499" w:rsidRPr="00BF7499" w:rsidRDefault="00BF7499" w:rsidP="00BF7499">
            <w:pPr>
              <w:jc w:val="center"/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Observaciones</w:t>
            </w:r>
          </w:p>
        </w:tc>
      </w:tr>
      <w:tr w:rsidR="00BF7499" w:rsidTr="00BF7499">
        <w:tc>
          <w:tcPr>
            <w:tcW w:w="4414" w:type="dxa"/>
          </w:tcPr>
          <w:p w:rsidR="00BF7499" w:rsidRPr="00BF7499" w:rsidRDefault="00BF7499" w:rsidP="00BF7499">
            <w:pPr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Desde el miércoles 30 de diciembre, 2020.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</w:p>
        </w:tc>
        <w:tc>
          <w:tcPr>
            <w:tcW w:w="4414" w:type="dxa"/>
          </w:tcPr>
          <w:p w:rsidR="00BF7499" w:rsidRPr="00BF7499" w:rsidRDefault="00BF7499" w:rsidP="00BF7499">
            <w:pPr>
              <w:jc w:val="both"/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</w:pP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Inicio periodo de regularización año lectivo 2021. 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Este periodo se realiza directamente en los establecimientos para aquellos estudiantes que no postularon en ninguno de los dos procesos o quieran buscar otro colegio.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Regiones: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Todas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br/>
            </w:r>
            <w:r w:rsidRPr="00BF7499">
              <w:rPr>
                <w:rFonts w:ascii="gobCL" w:eastAsia="Times New Roman" w:hAnsi="gobCL" w:cs="Times New Roman"/>
                <w:b/>
                <w:bCs/>
                <w:color w:val="475156"/>
                <w:sz w:val="26"/>
                <w:szCs w:val="26"/>
                <w:lang w:eastAsia="es-CL"/>
              </w:rPr>
              <w:t>Niveles:</w:t>
            </w:r>
            <w:r w:rsidRPr="00BF7499">
              <w:rPr>
                <w:rFonts w:ascii="gobCL" w:eastAsia="Times New Roman" w:hAnsi="gobCL" w:cs="Times New Roman"/>
                <w:color w:val="475156"/>
                <w:sz w:val="26"/>
                <w:szCs w:val="26"/>
                <w:lang w:eastAsia="es-CL"/>
              </w:rPr>
              <w:t> Pre-kínder a 4 medio</w:t>
            </w:r>
          </w:p>
        </w:tc>
      </w:tr>
    </w:tbl>
    <w:p w:rsid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BF7499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.</w:t>
      </w:r>
      <w:r w:rsidRPr="00BF7499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BF7499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BF7499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bookmarkStart w:id="0" w:name="_GoBack"/>
      <w:bookmarkEnd w:id="0"/>
      <w:r w:rsidRPr="00BF7499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</w:p>
    <w:p w:rsidR="00BF7499" w:rsidRPr="00BF7499" w:rsidRDefault="00BF7499" w:rsidP="00BF7499">
      <w:pPr>
        <w:shd w:val="clear" w:color="auto" w:fill="FFFFFF"/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BF7499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</w:p>
    <w:p w:rsidR="00BF7499" w:rsidRDefault="00BF7499">
      <w:r>
        <w:br w:type="page"/>
      </w:r>
    </w:p>
    <w:p w:rsidR="00867793" w:rsidRDefault="00432FE3"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660400</wp:posOffset>
            </wp:positionV>
            <wp:extent cx="2628265" cy="7359015"/>
            <wp:effectExtent l="0" t="0" r="635" b="0"/>
            <wp:wrapThrough wrapText="bothSides">
              <wp:wrapPolygon edited="0">
                <wp:start x="0" y="0"/>
                <wp:lineTo x="0" y="21527"/>
                <wp:lineTo x="21449" y="21527"/>
                <wp:lineTo x="21449" y="0"/>
                <wp:lineTo x="0" y="0"/>
              </wp:wrapPolygon>
            </wp:wrapThrough>
            <wp:docPr id="5" name="Imagen 5" descr="https://www.sistemadeadmisionescolar.cl/wp-content/uploads/2019/07/Resultad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deadmisionescolar.cl/wp-content/uploads/2019/07/Resultados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499">
        <w:rPr>
          <w:b/>
          <w:noProof/>
          <w:u w:val="single"/>
          <w:lang w:eastAsia="es-CL"/>
        </w:rPr>
        <w:drawing>
          <wp:anchor distT="0" distB="0" distL="114300" distR="114300" simplePos="0" relativeHeight="251663360" behindDoc="1" locked="0" layoutInCell="1" allowOverlap="1" wp14:anchorId="27ACCEF5" wp14:editId="2B8C656C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024957" cy="642025"/>
            <wp:effectExtent l="0" t="0" r="3810" b="5715"/>
            <wp:wrapThrough wrapText="bothSides">
              <wp:wrapPolygon edited="0">
                <wp:start x="6825" y="0"/>
                <wp:lineTo x="803" y="4487"/>
                <wp:lineTo x="401" y="10255"/>
                <wp:lineTo x="2007" y="10255"/>
                <wp:lineTo x="2007" y="12819"/>
                <wp:lineTo x="7227" y="20510"/>
                <wp:lineTo x="8833" y="21151"/>
                <wp:lineTo x="13651" y="21151"/>
                <wp:lineTo x="13651" y="20510"/>
                <wp:lineTo x="21279" y="16024"/>
                <wp:lineTo x="21279" y="13460"/>
                <wp:lineTo x="19271" y="9614"/>
                <wp:lineTo x="18468" y="5769"/>
                <wp:lineTo x="16059" y="0"/>
                <wp:lineTo x="6825" y="0"/>
              </wp:wrapPolygon>
            </wp:wrapThrough>
            <wp:docPr id="4" name="Imagen 4" descr="https://www.sistemadeadmisionescolar.cl/wp-content/uploads/2019/07/SAE_logoti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deadmisionescolar.cl/wp-content/uploads/2019/07/SAE_logoti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57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-117097</wp:posOffset>
            </wp:positionH>
            <wp:positionV relativeFrom="paragraph">
              <wp:posOffset>-42072</wp:posOffset>
            </wp:positionV>
            <wp:extent cx="2675107" cy="8823400"/>
            <wp:effectExtent l="0" t="0" r="0" b="0"/>
            <wp:wrapNone/>
            <wp:docPr id="3" name="Imagen 3" descr="https://www.sistemadeadmisionescolar.cl/wp-content/uploads/2019/07/ComoSePost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deadmisionescolar.cl/wp-content/uploads/2019/07/ComoSePostul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01" cy="88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793" w:rsidSect="00BF7499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27" w:rsidRDefault="00DC5027" w:rsidP="00432FE3">
      <w:pPr>
        <w:spacing w:after="0" w:line="240" w:lineRule="auto"/>
      </w:pPr>
      <w:r>
        <w:separator/>
      </w:r>
    </w:p>
  </w:endnote>
  <w:endnote w:type="continuationSeparator" w:id="0">
    <w:p w:rsidR="00DC5027" w:rsidRDefault="00DC5027" w:rsidP="0043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27" w:rsidRDefault="00DC5027" w:rsidP="00432FE3">
      <w:pPr>
        <w:spacing w:after="0" w:line="240" w:lineRule="auto"/>
      </w:pPr>
      <w:r>
        <w:separator/>
      </w:r>
    </w:p>
  </w:footnote>
  <w:footnote w:type="continuationSeparator" w:id="0">
    <w:p w:rsidR="00DC5027" w:rsidRDefault="00DC5027" w:rsidP="0043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E3" w:rsidRDefault="00432FE3">
    <w:pPr>
      <w:pStyle w:val="Encabezado"/>
    </w:pPr>
    <w:r>
      <w:t xml:space="preserve">Escuela de Lenguaje </w:t>
    </w:r>
    <w:proofErr w:type="spellStart"/>
    <w:r>
      <w:t>Renaceres</w:t>
    </w:r>
    <w:proofErr w:type="spellEnd"/>
  </w:p>
  <w:p w:rsidR="00432FE3" w:rsidRDefault="00432FE3">
    <w:pPr>
      <w:pStyle w:val="Encabezado"/>
    </w:pPr>
    <w:r>
      <w:t>22 823 81 85</w:t>
    </w:r>
  </w:p>
  <w:p w:rsidR="00432FE3" w:rsidRDefault="00DC5027">
    <w:pPr>
      <w:pStyle w:val="Encabezado"/>
    </w:pPr>
    <w:hyperlink r:id="rId1" w:history="1">
      <w:r w:rsidR="00432FE3" w:rsidRPr="00F549F9">
        <w:rPr>
          <w:rStyle w:val="Hipervnculo"/>
        </w:rPr>
        <w:t>escuelarenaceres@gmail.com</w:t>
      </w:r>
    </w:hyperlink>
  </w:p>
  <w:p w:rsidR="00432FE3" w:rsidRDefault="00432F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9"/>
    <w:rsid w:val="001E2CE2"/>
    <w:rsid w:val="00432FE3"/>
    <w:rsid w:val="0047214D"/>
    <w:rsid w:val="00867793"/>
    <w:rsid w:val="00915E8C"/>
    <w:rsid w:val="00BF7499"/>
    <w:rsid w:val="00D751F3"/>
    <w:rsid w:val="00DC5027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F725D"/>
  <w15:chartTrackingRefBased/>
  <w15:docId w15:val="{35668657-5CF3-4551-A3F4-C21B702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F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FE3"/>
  </w:style>
  <w:style w:type="paragraph" w:styleId="Piedepgina">
    <w:name w:val="footer"/>
    <w:basedOn w:val="Normal"/>
    <w:link w:val="PiedepginaCar"/>
    <w:uiPriority w:val="99"/>
    <w:unhideWhenUsed/>
    <w:rsid w:val="00432F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FE3"/>
  </w:style>
  <w:style w:type="character" w:styleId="Hipervnculo">
    <w:name w:val="Hyperlink"/>
    <w:basedOn w:val="Fuentedeprrafopredeter"/>
    <w:uiPriority w:val="99"/>
    <w:unhideWhenUsed/>
    <w:rsid w:val="0043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141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4455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2271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3934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769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0642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895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047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715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0483">
          <w:marLeft w:val="0"/>
          <w:marRight w:val="0"/>
          <w:marTop w:val="0"/>
          <w:marBottom w:val="0"/>
          <w:divBdr>
            <w:top w:val="single" w:sz="6" w:space="19" w:color="BDC9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stemadeadmisionescolar.c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uelarenacer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Transportes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Andrés Quezada Martínez</dc:creator>
  <cp:keywords/>
  <dc:description/>
  <cp:lastModifiedBy>Alfredo Andrés Quezada Martínez</cp:lastModifiedBy>
  <cp:revision>3</cp:revision>
  <dcterms:created xsi:type="dcterms:W3CDTF">2020-07-16T00:51:00Z</dcterms:created>
  <dcterms:modified xsi:type="dcterms:W3CDTF">2020-07-25T16:16:00Z</dcterms:modified>
</cp:coreProperties>
</file>